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823" w:rsidRPr="006412BC" w:rsidRDefault="00EB6823" w:rsidP="00EB6823">
      <w:pPr>
        <w:pStyle w:val="NormalWeb"/>
        <w:jc w:val="center"/>
        <w:rPr>
          <w:rFonts w:ascii="Times New Roman" w:hAnsi="Times New Roman" w:cs="Times New Roman" w:hint="eastAsia"/>
          <w:b/>
          <w:bCs/>
          <w:sz w:val="44"/>
          <w:szCs w:val="44"/>
        </w:rPr>
      </w:pPr>
      <w:r w:rsidRPr="006412BC">
        <w:rPr>
          <w:rFonts w:ascii="Times New Roman" w:hAnsi="Times New Roman" w:cs="Times New Roman" w:hint="eastAsia"/>
          <w:b/>
          <w:bCs/>
          <w:sz w:val="44"/>
          <w:szCs w:val="44"/>
        </w:rPr>
        <w:t>关于做好融资租赁登记和查询工作的通知</w:t>
      </w:r>
    </w:p>
    <w:p w:rsidR="00EB6823" w:rsidRPr="00595C1E" w:rsidRDefault="00EB6823" w:rsidP="00EB6823">
      <w:pPr>
        <w:pStyle w:val="NormalWeb"/>
        <w:jc w:val="center"/>
        <w:rPr>
          <w:rStyle w:val="font1"/>
          <w:rFonts w:ascii="新宋体" w:eastAsia="新宋体" w:hAnsi="新宋体" w:hint="default"/>
          <w:b/>
          <w:bCs/>
          <w:color w:val="000000"/>
          <w:sz w:val="36"/>
          <w:szCs w:val="36"/>
        </w:rPr>
      </w:pPr>
      <w:r w:rsidRPr="0090543C">
        <w:rPr>
          <w:rStyle w:val="font1"/>
          <w:rFonts w:hint="default"/>
          <w:sz w:val="28"/>
          <w:szCs w:val="28"/>
        </w:rPr>
        <w:t>（津金融办[2011]87号）</w:t>
      </w:r>
    </w:p>
    <w:p w:rsidR="00EB6823" w:rsidRDefault="00EB6823" w:rsidP="00EB6823">
      <w:pPr>
        <w:widowControl/>
        <w:wordWrap w:val="0"/>
        <w:snapToGrid w:val="0"/>
        <w:spacing w:line="600" w:lineRule="atLeast"/>
        <w:jc w:val="center"/>
        <w:rPr>
          <w:color w:val="333333"/>
          <w:kern w:val="0"/>
          <w:sz w:val="32"/>
          <w:szCs w:val="32"/>
        </w:rPr>
      </w:pPr>
      <w:r>
        <w:rPr>
          <w:rFonts w:ascii="楷体_GB2312" w:eastAsia="楷体_GB2312" w:hint="eastAsia"/>
          <w:color w:val="333333"/>
          <w:kern w:val="0"/>
          <w:sz w:val="32"/>
          <w:szCs w:val="32"/>
        </w:rPr>
        <w:t>市金融办 人民银行天津分行 市商务委 天津银监局</w:t>
      </w:r>
    </w:p>
    <w:p w:rsidR="00EB6823" w:rsidRDefault="00EB6823" w:rsidP="00EB6823">
      <w:pPr>
        <w:pStyle w:val="NormalWeb"/>
        <w:wordWrap w:val="0"/>
        <w:spacing w:before="0" w:beforeAutospacing="0" w:after="0" w:afterAutospacing="0"/>
        <w:ind w:firstLineChars="200" w:firstLine="560"/>
        <w:rPr>
          <w:rStyle w:val="font1"/>
          <w:rFonts w:hint="default"/>
          <w:sz w:val="28"/>
          <w:szCs w:val="28"/>
        </w:rPr>
      </w:pPr>
    </w:p>
    <w:p w:rsidR="00EB6823" w:rsidRPr="0090543C" w:rsidRDefault="00EB6823" w:rsidP="00EB6823">
      <w:pPr>
        <w:pStyle w:val="NormalWeb"/>
        <w:wordWrap w:val="0"/>
        <w:spacing w:before="0" w:beforeAutospacing="0" w:after="0" w:afterAutospacing="0"/>
        <w:ind w:firstLineChars="200" w:firstLine="640"/>
        <w:rPr>
          <w:rFonts w:ascii="仿宋_GB2312" w:eastAsia="仿宋_GB2312" w:hAnsi="新宋体" w:hint="eastAsia"/>
          <w:color w:val="000000"/>
          <w:sz w:val="32"/>
          <w:szCs w:val="32"/>
        </w:rPr>
      </w:pPr>
      <w:r w:rsidRPr="0090543C">
        <w:rPr>
          <w:rFonts w:ascii="仿宋_GB2312" w:eastAsia="仿宋_GB2312" w:hAnsi="新宋体" w:hint="eastAsia"/>
          <w:color w:val="000000"/>
          <w:sz w:val="32"/>
          <w:szCs w:val="32"/>
        </w:rPr>
        <w:t xml:space="preserve">各银行、金融资产管理公司、信托公司、财务公司、汽车金融公司、消费金融公司、金融租赁公司、外商投资融资租赁公司、内资融资租赁试点企业、典当行、小额贷款公司、融资性担保公司： </w:t>
      </w:r>
    </w:p>
    <w:p w:rsidR="00EB6823" w:rsidRPr="0090543C" w:rsidRDefault="00EB6823" w:rsidP="00EB6823">
      <w:pPr>
        <w:pStyle w:val="NormalWeb"/>
        <w:wordWrap w:val="0"/>
        <w:spacing w:before="0" w:beforeAutospacing="0" w:after="0" w:afterAutospacing="0"/>
        <w:rPr>
          <w:rFonts w:ascii="仿宋_GB2312" w:eastAsia="仿宋_GB2312" w:hAnsi="新宋体" w:hint="eastAsia"/>
          <w:color w:val="000000"/>
          <w:sz w:val="32"/>
          <w:szCs w:val="32"/>
        </w:rPr>
      </w:pPr>
      <w:r w:rsidRPr="0090543C">
        <w:rPr>
          <w:rFonts w:ascii="新宋体" w:eastAsia="仿宋_GB2312" w:hAnsi="新宋体" w:hint="eastAsia"/>
          <w:color w:val="000000"/>
          <w:sz w:val="32"/>
          <w:szCs w:val="32"/>
        </w:rPr>
        <w:t>  </w:t>
      </w:r>
      <w:r w:rsidRPr="0090543C">
        <w:rPr>
          <w:rFonts w:ascii="仿宋_GB2312" w:eastAsia="仿宋_GB2312" w:hAnsi="新宋体" w:hint="eastAsia"/>
          <w:color w:val="000000"/>
          <w:sz w:val="32"/>
          <w:szCs w:val="32"/>
        </w:rPr>
        <w:t xml:space="preserve">为进一步促进我市融资租赁业持续快速健康发展，维护融资租赁交易安全，有效防范金融业务风险，根据《国家发展改革委员会关于天津滨海新区综合配套改革试验金融创新专项方案的复函》（发改经体〔2009〕2680号）和市政府《关于促进我市租赁业发展的意见》（津政发〔2010〕39号)，现就做好融资租赁登记和查询工作通知如下，请认真贯彻执行。 </w:t>
      </w:r>
    </w:p>
    <w:p w:rsidR="00EB6823" w:rsidRPr="0090543C" w:rsidRDefault="00EB6823" w:rsidP="00EB6823">
      <w:pPr>
        <w:pStyle w:val="NormalWeb"/>
        <w:wordWrap w:val="0"/>
        <w:spacing w:before="0" w:beforeAutospacing="0" w:after="0" w:afterAutospacing="0"/>
        <w:rPr>
          <w:rFonts w:ascii="仿宋_GB2312" w:eastAsia="仿宋_GB2312" w:hAnsi="新宋体" w:hint="eastAsia"/>
          <w:color w:val="000000"/>
          <w:sz w:val="32"/>
          <w:szCs w:val="32"/>
        </w:rPr>
      </w:pPr>
      <w:r w:rsidRPr="0090543C">
        <w:rPr>
          <w:rFonts w:ascii="新宋体" w:eastAsia="仿宋_GB2312" w:hAnsi="新宋体" w:hint="eastAsia"/>
          <w:color w:val="000000"/>
          <w:sz w:val="32"/>
          <w:szCs w:val="32"/>
        </w:rPr>
        <w:t>  </w:t>
      </w:r>
      <w:r w:rsidRPr="0090543C">
        <w:rPr>
          <w:rFonts w:ascii="仿宋_GB2312" w:eastAsia="仿宋_GB2312" w:hAnsi="新宋体" w:hint="eastAsia"/>
          <w:color w:val="000000"/>
          <w:sz w:val="32"/>
          <w:szCs w:val="32"/>
        </w:rPr>
        <w:t>一、各金融租赁公司、外商投资融资租赁公司、内资融资租赁试点企业（以下简称各融资租赁公司）在办理融资租赁业务时，应在中国人民银行征信中心（以下简称征信中心）的融资租赁登记公示系统办理融资租赁权属状况登记，并按照《中国人民银行征信中心融资租赁登记规则》（以下简称《融资租赁登记规则》）的规定，如实填写登记事项，公示</w:t>
      </w:r>
      <w:r w:rsidRPr="0090543C">
        <w:rPr>
          <w:rFonts w:ascii="仿宋_GB2312" w:eastAsia="仿宋_GB2312" w:hAnsi="新宋体" w:hint="eastAsia"/>
          <w:color w:val="000000"/>
          <w:sz w:val="32"/>
          <w:szCs w:val="32"/>
        </w:rPr>
        <w:lastRenderedPageBreak/>
        <w:t xml:space="preserve">融资租赁合同中载明的融资租赁物权属状况。融资租赁公司应对登记内容的真实性、完整性和合法性负责。 </w:t>
      </w:r>
    </w:p>
    <w:p w:rsidR="00EB6823" w:rsidRPr="0090543C" w:rsidRDefault="00EB6823" w:rsidP="00EB6823">
      <w:pPr>
        <w:pStyle w:val="NormalWeb"/>
        <w:wordWrap w:val="0"/>
        <w:spacing w:before="0" w:beforeAutospacing="0" w:after="0" w:afterAutospacing="0"/>
        <w:rPr>
          <w:rFonts w:ascii="仿宋_GB2312" w:eastAsia="仿宋_GB2312" w:hAnsi="新宋体" w:hint="eastAsia"/>
          <w:color w:val="000000"/>
          <w:sz w:val="32"/>
          <w:szCs w:val="32"/>
        </w:rPr>
      </w:pPr>
      <w:r w:rsidRPr="0090543C">
        <w:rPr>
          <w:rFonts w:ascii="新宋体" w:eastAsia="仿宋_GB2312" w:hAnsi="新宋体" w:hint="eastAsia"/>
          <w:color w:val="000000"/>
          <w:sz w:val="32"/>
          <w:szCs w:val="32"/>
        </w:rPr>
        <w:t>  </w:t>
      </w:r>
      <w:r w:rsidRPr="0090543C">
        <w:rPr>
          <w:rFonts w:ascii="仿宋_GB2312" w:eastAsia="仿宋_GB2312" w:hAnsi="新宋体" w:hint="eastAsia"/>
          <w:color w:val="000000"/>
          <w:sz w:val="32"/>
          <w:szCs w:val="32"/>
        </w:rPr>
        <w:t xml:space="preserve">二、各融资租赁公司在办理融资租赁登记和查询业务时，应按照《融资租赁登记规则》的规定，通过征信中心互联网填写机构注册信息，再到征信中心天津分中心进行用户身份资料的现场审核后，即可登录融资租赁登记公示系统进行登记操作。 </w:t>
      </w:r>
    </w:p>
    <w:p w:rsidR="00EB6823" w:rsidRPr="0090543C" w:rsidRDefault="00EB6823" w:rsidP="00EB6823">
      <w:pPr>
        <w:pStyle w:val="NormalWeb"/>
        <w:wordWrap w:val="0"/>
        <w:spacing w:before="0" w:beforeAutospacing="0" w:after="0" w:afterAutospacing="0"/>
        <w:rPr>
          <w:rFonts w:ascii="仿宋_GB2312" w:eastAsia="仿宋_GB2312" w:hAnsi="新宋体" w:hint="eastAsia"/>
          <w:color w:val="000000"/>
          <w:sz w:val="32"/>
          <w:szCs w:val="32"/>
        </w:rPr>
      </w:pPr>
      <w:r w:rsidRPr="0090543C">
        <w:rPr>
          <w:rFonts w:ascii="新宋体" w:eastAsia="仿宋_GB2312" w:hAnsi="新宋体" w:hint="eastAsia"/>
          <w:color w:val="000000"/>
          <w:sz w:val="32"/>
          <w:szCs w:val="32"/>
        </w:rPr>
        <w:t>  </w:t>
      </w:r>
      <w:r w:rsidRPr="0090543C">
        <w:rPr>
          <w:rFonts w:ascii="仿宋_GB2312" w:eastAsia="仿宋_GB2312" w:hAnsi="新宋体" w:hint="eastAsia"/>
          <w:color w:val="000000"/>
          <w:sz w:val="32"/>
          <w:szCs w:val="32"/>
        </w:rPr>
        <w:t xml:space="preserve">三、各银行、金融资产管理公司、信托公司、财务公司、汽车金融公司、消费金融公司、金融租赁公司、外商投资融资租赁公司、内资融资租赁试点企业、典当行、小额贷款公司、融资性担保公司（以下简称各机构）在办理资产抵押、质押、受让等业务时，应登录征信中心的融资租赁登记公示系统，查询相关标的物的权属状况。该查询是办理资产抵押、质押、受让业务的必要程序。对己在征信中心融资租赁登记公示系统办理登记公示的租赁物，未经出租人同意，不得办理抵押、质押业务，不得接受其作为受让物。 </w:t>
      </w:r>
    </w:p>
    <w:p w:rsidR="00EB6823" w:rsidRPr="0090543C" w:rsidRDefault="00EB6823" w:rsidP="00EB6823">
      <w:pPr>
        <w:pStyle w:val="NormalWeb"/>
        <w:wordWrap w:val="0"/>
        <w:spacing w:before="0" w:beforeAutospacing="0" w:after="0" w:afterAutospacing="0"/>
        <w:rPr>
          <w:rFonts w:ascii="仿宋_GB2312" w:eastAsia="仿宋_GB2312" w:hAnsi="新宋体" w:hint="eastAsia"/>
          <w:color w:val="000000"/>
          <w:sz w:val="32"/>
          <w:szCs w:val="32"/>
        </w:rPr>
      </w:pPr>
      <w:r w:rsidRPr="0090543C">
        <w:rPr>
          <w:rFonts w:ascii="新宋体" w:eastAsia="仿宋_GB2312" w:hAnsi="新宋体" w:hint="eastAsia"/>
          <w:color w:val="000000"/>
          <w:sz w:val="32"/>
          <w:szCs w:val="32"/>
        </w:rPr>
        <w:t>  </w:t>
      </w:r>
      <w:r w:rsidRPr="0090543C">
        <w:rPr>
          <w:rFonts w:ascii="仿宋_GB2312" w:eastAsia="仿宋_GB2312" w:hAnsi="新宋体" w:hint="eastAsia"/>
          <w:color w:val="000000"/>
          <w:sz w:val="32"/>
          <w:szCs w:val="32"/>
        </w:rPr>
        <w:t>四、在办理融资租赁登记、查询时，各机构应根据自身情况申请取得融资租赁登记公示系统的常用户或普通用户。注册取得常用户资格的机构可以在融资租赁登记公示系统办理登记，也可以进行查询；注册取得普通用户资格的机构可以登录融资租赁登记公示系统查询融资租赁登记信息。各</w:t>
      </w:r>
      <w:r w:rsidRPr="0090543C">
        <w:rPr>
          <w:rFonts w:ascii="仿宋_GB2312" w:eastAsia="仿宋_GB2312" w:hAnsi="新宋体" w:hint="eastAsia"/>
          <w:color w:val="000000"/>
          <w:sz w:val="32"/>
          <w:szCs w:val="32"/>
        </w:rPr>
        <w:lastRenderedPageBreak/>
        <w:t xml:space="preserve">机构根据业务申请人的法定注册名称、身份证件号码或标的物唯一标识码进行查询。 </w:t>
      </w:r>
    </w:p>
    <w:p w:rsidR="00EB6823" w:rsidRPr="007054D1" w:rsidRDefault="00EB6823" w:rsidP="00EB6823">
      <w:pPr>
        <w:pStyle w:val="NormalWeb"/>
        <w:wordWrap w:val="0"/>
        <w:spacing w:before="0" w:beforeAutospacing="0" w:after="0" w:afterAutospacing="0"/>
        <w:rPr>
          <w:rFonts w:ascii="新宋体" w:eastAsia="新宋体" w:hAnsi="新宋体" w:hint="eastAsia"/>
          <w:color w:val="000000"/>
        </w:rPr>
      </w:pPr>
      <w:r w:rsidRPr="0090543C">
        <w:rPr>
          <w:rFonts w:ascii="新宋体" w:eastAsia="仿宋_GB2312" w:hAnsi="新宋体" w:hint="eastAsia"/>
          <w:color w:val="000000"/>
          <w:sz w:val="32"/>
          <w:szCs w:val="32"/>
        </w:rPr>
        <w:t>  </w:t>
      </w:r>
      <w:r w:rsidRPr="0090543C">
        <w:rPr>
          <w:rFonts w:ascii="仿宋_GB2312" w:eastAsia="仿宋_GB2312" w:hAnsi="新宋体" w:hint="eastAsia"/>
          <w:color w:val="000000"/>
          <w:sz w:val="32"/>
          <w:szCs w:val="32"/>
        </w:rPr>
        <w:t>五、各机构应高度重视融资租赁登记和查询工作，及时将本通知转发至各级分支机构，并制定完善业务审批流程和风险控制制度措施，做好人员培训工作，确保相关人员熟练掌握融资租赁登记和查询业务。</w:t>
      </w:r>
    </w:p>
    <w:p w:rsidR="00EB6823" w:rsidRPr="007054D1" w:rsidRDefault="00EB6823" w:rsidP="00EB6823">
      <w:pPr>
        <w:rPr>
          <w:sz w:val="24"/>
        </w:rPr>
      </w:pPr>
    </w:p>
    <w:p w:rsidR="00EB6823" w:rsidRDefault="00EB6823" w:rsidP="00EB6823">
      <w:pPr>
        <w:jc w:val="right"/>
        <w:rPr>
          <w:rFonts w:ascii="楷体_GB2312" w:eastAsia="楷体_GB2312" w:hint="eastAsia"/>
          <w:color w:val="333333"/>
          <w:kern w:val="0"/>
          <w:sz w:val="32"/>
          <w:szCs w:val="32"/>
        </w:rPr>
      </w:pPr>
      <w:r>
        <w:rPr>
          <w:rFonts w:ascii="楷体_GB2312" w:eastAsia="楷体_GB2312" w:hint="eastAsia"/>
          <w:color w:val="333333"/>
          <w:kern w:val="0"/>
          <w:sz w:val="32"/>
          <w:szCs w:val="32"/>
        </w:rPr>
        <w:t>天津市人民政府金融服务办公室、</w:t>
      </w:r>
    </w:p>
    <w:p w:rsidR="00EB6823" w:rsidRDefault="00EB6823" w:rsidP="00EB6823">
      <w:pPr>
        <w:jc w:val="right"/>
        <w:rPr>
          <w:rFonts w:ascii="楷体_GB2312" w:eastAsia="楷体_GB2312" w:hint="eastAsia"/>
          <w:color w:val="333333"/>
          <w:kern w:val="0"/>
          <w:sz w:val="32"/>
          <w:szCs w:val="32"/>
        </w:rPr>
      </w:pPr>
      <w:r>
        <w:rPr>
          <w:rFonts w:ascii="楷体_GB2312" w:eastAsia="楷体_GB2312" w:hint="eastAsia"/>
          <w:color w:val="333333"/>
          <w:kern w:val="0"/>
          <w:sz w:val="32"/>
          <w:szCs w:val="32"/>
        </w:rPr>
        <w:t xml:space="preserve">中国人民银行天津分行、 </w:t>
      </w:r>
    </w:p>
    <w:p w:rsidR="00EB6823" w:rsidRDefault="00EB6823" w:rsidP="00EB6823">
      <w:pPr>
        <w:jc w:val="right"/>
        <w:rPr>
          <w:rFonts w:ascii="楷体_GB2312" w:eastAsia="楷体_GB2312" w:hint="eastAsia"/>
          <w:color w:val="333333"/>
          <w:kern w:val="0"/>
          <w:sz w:val="32"/>
          <w:szCs w:val="32"/>
        </w:rPr>
      </w:pPr>
      <w:r>
        <w:rPr>
          <w:rFonts w:ascii="楷体_GB2312" w:eastAsia="楷体_GB2312" w:hint="eastAsia"/>
          <w:color w:val="333333"/>
          <w:kern w:val="0"/>
          <w:sz w:val="32"/>
          <w:szCs w:val="32"/>
        </w:rPr>
        <w:t>天津市商务委员会、</w:t>
      </w:r>
    </w:p>
    <w:p w:rsidR="00EB6823" w:rsidRPr="007A659F" w:rsidRDefault="00EB6823" w:rsidP="00EB6823">
      <w:pPr>
        <w:jc w:val="right"/>
        <w:rPr>
          <w:rFonts w:ascii="楷体_GB2312" w:eastAsia="楷体_GB2312" w:hint="eastAsia"/>
          <w:color w:val="333333"/>
          <w:kern w:val="0"/>
          <w:sz w:val="32"/>
          <w:szCs w:val="32"/>
        </w:rPr>
      </w:pPr>
      <w:r>
        <w:rPr>
          <w:rFonts w:ascii="楷体_GB2312" w:eastAsia="楷体_GB2312" w:hint="eastAsia"/>
          <w:color w:val="333333"/>
          <w:kern w:val="0"/>
          <w:sz w:val="32"/>
          <w:szCs w:val="32"/>
        </w:rPr>
        <w:t>中国银行业监督管理委员会天津监督局</w:t>
      </w:r>
    </w:p>
    <w:p w:rsidR="00EB6823" w:rsidRPr="007A659F" w:rsidRDefault="00EB6823" w:rsidP="00EB6823">
      <w:pPr>
        <w:jc w:val="right"/>
        <w:rPr>
          <w:rFonts w:ascii="楷体_GB2312" w:eastAsia="楷体_GB2312" w:hint="eastAsia"/>
          <w:color w:val="333333"/>
          <w:kern w:val="0"/>
          <w:sz w:val="32"/>
          <w:szCs w:val="32"/>
        </w:rPr>
      </w:pPr>
      <w:r>
        <w:rPr>
          <w:rFonts w:ascii="楷体_GB2312" w:eastAsia="楷体_GB2312" w:hint="eastAsia"/>
          <w:color w:val="333333"/>
          <w:kern w:val="0"/>
          <w:sz w:val="32"/>
          <w:szCs w:val="32"/>
        </w:rPr>
        <w:t>二〇一一</w:t>
      </w:r>
      <w:r w:rsidRPr="007A659F">
        <w:rPr>
          <w:rFonts w:ascii="楷体_GB2312" w:eastAsia="楷体_GB2312" w:hint="eastAsia"/>
          <w:color w:val="333333"/>
          <w:kern w:val="0"/>
          <w:sz w:val="32"/>
          <w:szCs w:val="32"/>
        </w:rPr>
        <w:t>年</w:t>
      </w:r>
      <w:r>
        <w:rPr>
          <w:rFonts w:ascii="楷体_GB2312" w:eastAsia="楷体_GB2312" w:hint="eastAsia"/>
          <w:color w:val="333333"/>
          <w:kern w:val="0"/>
          <w:sz w:val="32"/>
          <w:szCs w:val="32"/>
        </w:rPr>
        <w:t>十一月二</w:t>
      </w:r>
      <w:r w:rsidRPr="007A659F">
        <w:rPr>
          <w:rFonts w:ascii="楷体_GB2312" w:eastAsia="楷体_GB2312" w:hint="eastAsia"/>
          <w:color w:val="333333"/>
          <w:kern w:val="0"/>
          <w:sz w:val="32"/>
          <w:szCs w:val="32"/>
        </w:rPr>
        <w:t>日</w:t>
      </w:r>
    </w:p>
    <w:p w:rsidR="00EB6823" w:rsidRPr="007A659F" w:rsidRDefault="00EB6823" w:rsidP="00EB6823">
      <w:pPr>
        <w:rPr>
          <w:rFonts w:hint="eastAsia"/>
        </w:rPr>
      </w:pPr>
    </w:p>
    <w:p w:rsidR="00EB6823" w:rsidRDefault="00EB6823" w:rsidP="00EB6823">
      <w:pPr>
        <w:rPr>
          <w:rFonts w:hint="eastAsia"/>
        </w:rPr>
      </w:pPr>
    </w:p>
    <w:p w:rsidR="00EB6823" w:rsidRDefault="00EB6823" w:rsidP="00EB6823">
      <w:pPr>
        <w:rPr>
          <w:rFonts w:hint="eastAsia"/>
        </w:rPr>
      </w:pPr>
    </w:p>
    <w:p w:rsidR="00EB6823" w:rsidRDefault="00EB6823" w:rsidP="00EB6823">
      <w:pPr>
        <w:rPr>
          <w:rFonts w:hint="eastAsia"/>
        </w:rPr>
      </w:pPr>
    </w:p>
    <w:p w:rsidR="00EB6823" w:rsidRDefault="00EB6823" w:rsidP="00EB6823">
      <w:pPr>
        <w:rPr>
          <w:rFonts w:hint="eastAsia"/>
        </w:rPr>
      </w:pPr>
    </w:p>
    <w:p w:rsidR="00EB6823" w:rsidRDefault="00EB6823" w:rsidP="00EB6823">
      <w:pPr>
        <w:rPr>
          <w:rFonts w:hint="eastAsia"/>
        </w:rPr>
      </w:pPr>
    </w:p>
    <w:p w:rsidR="00EB6823" w:rsidRDefault="00EB6823" w:rsidP="00EB6823">
      <w:pPr>
        <w:rPr>
          <w:rFonts w:hint="eastAsia"/>
        </w:rPr>
      </w:pPr>
    </w:p>
    <w:p w:rsidR="00EB6823" w:rsidRDefault="00EB6823" w:rsidP="00EB6823">
      <w:pPr>
        <w:rPr>
          <w:rFonts w:hint="eastAsia"/>
        </w:rPr>
      </w:pPr>
    </w:p>
    <w:p w:rsidR="00EB6823" w:rsidRDefault="00EB6823" w:rsidP="00EB6823">
      <w:pPr>
        <w:rPr>
          <w:rFonts w:hint="eastAsia"/>
        </w:rPr>
      </w:pPr>
    </w:p>
    <w:p w:rsidR="00EB6823" w:rsidRDefault="00EB6823" w:rsidP="00EB6823">
      <w:pPr>
        <w:rPr>
          <w:rFonts w:hint="eastAsia"/>
        </w:rPr>
      </w:pPr>
    </w:p>
    <w:p w:rsidR="00EB6823" w:rsidRDefault="00EB6823" w:rsidP="00EB6823">
      <w:pPr>
        <w:rPr>
          <w:rFonts w:hint="eastAsia"/>
        </w:rPr>
      </w:pPr>
    </w:p>
    <w:p w:rsidR="00EB6823" w:rsidRDefault="00EB6823" w:rsidP="00EB6823">
      <w:pPr>
        <w:rPr>
          <w:rFonts w:hint="eastAsia"/>
        </w:rPr>
      </w:pPr>
    </w:p>
    <w:p w:rsidR="00EB6823" w:rsidRDefault="00EB6823" w:rsidP="00EB6823">
      <w:pPr>
        <w:rPr>
          <w:rFonts w:hint="eastAsia"/>
        </w:rPr>
      </w:pPr>
    </w:p>
    <w:p w:rsidR="00EB6823" w:rsidRDefault="00EB6823" w:rsidP="00EB6823">
      <w:pPr>
        <w:rPr>
          <w:rFonts w:hint="eastAsia"/>
        </w:rPr>
      </w:pPr>
    </w:p>
    <w:p w:rsidR="009A6DDC" w:rsidRDefault="00EB6823">
      <w:bookmarkStart w:id="0" w:name="_GoBack"/>
      <w:bookmarkEnd w:id="0"/>
    </w:p>
    <w:sectPr w:rsidR="009A6D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A1C"/>
    <w:rsid w:val="005628AA"/>
    <w:rsid w:val="00736A1C"/>
    <w:rsid w:val="00BF67D4"/>
    <w:rsid w:val="00EB6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823"/>
    <w:pPr>
      <w:widowControl w:val="0"/>
      <w:jc w:val="both"/>
    </w:pPr>
    <w:rPr>
      <w:rFonts w:ascii="Times New Roman" w:eastAsia="宋体"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6823"/>
    <w:pPr>
      <w:widowControl/>
      <w:spacing w:before="100" w:beforeAutospacing="1" w:after="100" w:afterAutospacing="1"/>
      <w:jc w:val="left"/>
    </w:pPr>
    <w:rPr>
      <w:rFonts w:ascii="宋体" w:hAnsi="宋体" w:cs="宋体"/>
      <w:kern w:val="0"/>
      <w:sz w:val="24"/>
    </w:rPr>
  </w:style>
  <w:style w:type="character" w:customStyle="1" w:styleId="font1">
    <w:name w:val="font1"/>
    <w:rsid w:val="00EB6823"/>
    <w:rPr>
      <w:rFonts w:ascii="宋体" w:eastAsia="宋体" w:hAnsi="宋体" w:hint="eastAsia"/>
      <w:color w:val="66666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823"/>
    <w:pPr>
      <w:widowControl w:val="0"/>
      <w:jc w:val="both"/>
    </w:pPr>
    <w:rPr>
      <w:rFonts w:ascii="Times New Roman" w:eastAsia="宋体"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6823"/>
    <w:pPr>
      <w:widowControl/>
      <w:spacing w:before="100" w:beforeAutospacing="1" w:after="100" w:afterAutospacing="1"/>
      <w:jc w:val="left"/>
    </w:pPr>
    <w:rPr>
      <w:rFonts w:ascii="宋体" w:hAnsi="宋体" w:cs="宋体"/>
      <w:kern w:val="0"/>
      <w:sz w:val="24"/>
    </w:rPr>
  </w:style>
  <w:style w:type="character" w:customStyle="1" w:styleId="font1">
    <w:name w:val="font1"/>
    <w:rsid w:val="00EB6823"/>
    <w:rPr>
      <w:rFonts w:ascii="宋体" w:eastAsia="宋体" w:hAnsi="宋体" w:hint="eastAsia"/>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chayu-w7</dc:creator>
  <cp:keywords/>
  <dc:description/>
  <cp:lastModifiedBy>chayu-w7</cp:lastModifiedBy>
  <cp:revision>2</cp:revision>
  <dcterms:created xsi:type="dcterms:W3CDTF">2014-03-17T08:36:00Z</dcterms:created>
  <dcterms:modified xsi:type="dcterms:W3CDTF">2014-03-17T08:36:00Z</dcterms:modified>
</cp:coreProperties>
</file>